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ainTitle"/>
        <w:spacing w:before="200" w:after="320" w:line="240" w:lineRule="auto"/>
      </w:pPr>
      <w:r>
        <w:t>Supplier Data Quality</w:t>
      </w:r>
    </w:p>
    <w:p>
      <w:pPr>
        <w:pStyle w:val="SubTitle"/>
        <w:spacing w:before="0" w:after="300" w:line="240" w:lineRule="auto"/>
      </w:pPr>
      <w:r>
        <w:t>How clean is your supplier master?</w:t>
      </w:r>
    </w:p>
    <w:p>
      <w:pPr>
        <w:spacing w:before="0" w:after="300" w:line="264" w:lineRule="auto"/>
      </w:pPr>
      <w:r>
        <w:t>Poor supplier data creates duplicate records, unnecessary manual work, integration issues and</w:t>
        <w:br/>
        <w:t>unreliable reporting.</w:t>
      </w:r>
    </w:p>
    <w:p>
      <w:pPr>
        <w:spacing w:before="0" w:after="340" w:line="240" w:lineRule="auto"/>
      </w:pPr>
      <w:r>
        <w:t>Before running a full analysis, check the 10 most common supplier data-quality issues.</w:t>
      </w:r>
    </w:p>
    <w:p>
      <w:pPr>
        <w:pStyle w:val="SectionHead"/>
        <w:spacing w:before="0" w:after="240" w:line="240" w:lineRule="auto"/>
      </w:pPr>
      <w:r>
        <w:t>10-Point Supplier Data Quality Quick Check</w:t>
      </w:r>
    </w:p>
    <w:p>
      <w:pPr>
        <w:spacing w:before="0" w:after="20" w:line="240" w:lineRule="auto"/>
        <w:ind w:left="482" w:hanging="142"/>
      </w:pPr>
      <w:r>
        <w:rPr>
          <w:sz w:val="21"/>
        </w:rPr>
        <w:t xml:space="preserve">• [ ] </w:t>
      </w:r>
      <w:r>
        <w:rPr>
          <w:b/>
          <w:sz w:val="21"/>
        </w:rPr>
        <w:t>Duplicate Suppliers</w:t>
      </w:r>
    </w:p>
    <w:p>
      <w:pPr>
        <w:spacing w:before="0" w:after="160" w:line="252" w:lineRule="auto"/>
        <w:ind w:left="595"/>
      </w:pPr>
      <w:r>
        <w:t>The same supplier may exist more than once under different spellings, names or legal entities.</w:t>
      </w:r>
    </w:p>
    <w:p>
      <w:pPr>
        <w:spacing w:before="0" w:after="20" w:line="240" w:lineRule="auto"/>
        <w:ind w:left="482" w:hanging="142"/>
      </w:pPr>
      <w:r>
        <w:rPr>
          <w:sz w:val="21"/>
        </w:rPr>
        <w:t xml:space="preserve">• [ ] </w:t>
      </w:r>
      <w:r>
        <w:rPr>
          <w:b/>
          <w:sz w:val="21"/>
        </w:rPr>
        <w:t>Supplier Name Quality</w:t>
      </w:r>
    </w:p>
    <w:p>
      <w:pPr>
        <w:spacing w:before="0" w:after="160" w:line="252" w:lineRule="auto"/>
        <w:ind w:left="595"/>
      </w:pPr>
      <w:r>
        <w:t>Supplier names should follow a consistent naming convention without unnecessary</w:t>
        <w:br/>
        <w:t>abbreviations or formatting differences.</w:t>
      </w:r>
    </w:p>
    <w:p>
      <w:pPr>
        <w:spacing w:before="0" w:after="20" w:line="240" w:lineRule="auto"/>
        <w:ind w:left="482" w:hanging="142"/>
      </w:pPr>
      <w:r>
        <w:rPr>
          <w:sz w:val="21"/>
        </w:rPr>
        <w:t xml:space="preserve">• [ ] </w:t>
      </w:r>
      <w:r>
        <w:rPr>
          <w:b/>
          <w:sz w:val="21"/>
        </w:rPr>
        <w:t>Address Completeness</w:t>
      </w:r>
    </w:p>
    <w:p>
      <w:pPr>
        <w:spacing w:before="0" w:after="160" w:line="252" w:lineRule="auto"/>
        <w:ind w:left="595"/>
      </w:pPr>
      <w:r>
        <w:t>Street, postal code, city and country should be complete and consistently formatted.</w:t>
      </w:r>
    </w:p>
    <w:p>
      <w:pPr>
        <w:spacing w:before="0" w:after="20" w:line="240" w:lineRule="auto"/>
        <w:ind w:left="482" w:hanging="142"/>
      </w:pPr>
      <w:r>
        <w:rPr>
          <w:sz w:val="21"/>
        </w:rPr>
        <w:t xml:space="preserve">• [ ] </w:t>
      </w:r>
      <w:r>
        <w:rPr>
          <w:b/>
          <w:sz w:val="21"/>
        </w:rPr>
        <w:t>Tax &amp; Registration Numbers</w:t>
      </w:r>
    </w:p>
    <w:p>
      <w:pPr>
        <w:spacing w:before="0" w:after="160" w:line="252" w:lineRule="auto"/>
        <w:ind w:left="595"/>
      </w:pPr>
      <w:r>
        <w:t>VAT IDs, tax numbers and company registration numbers should be complete and valid where</w:t>
        <w:br/>
        <w:t>applicable.</w:t>
      </w:r>
    </w:p>
    <w:p>
      <w:pPr>
        <w:spacing w:before="0" w:after="20" w:line="240" w:lineRule="auto"/>
        <w:ind w:left="482" w:hanging="142"/>
      </w:pPr>
      <w:r>
        <w:rPr>
          <w:sz w:val="21"/>
        </w:rPr>
        <w:t xml:space="preserve">• [ ] </w:t>
      </w:r>
      <w:r>
        <w:rPr>
          <w:b/>
          <w:sz w:val="21"/>
        </w:rPr>
        <w:t>Contact Information</w:t>
      </w:r>
    </w:p>
    <w:p>
      <w:pPr>
        <w:spacing w:before="0" w:after="160" w:line="252" w:lineRule="auto"/>
        <w:ind w:left="595"/>
      </w:pPr>
      <w:r>
        <w:t>Key contacts, email addresses and telephone numbers should be available and up to date.</w:t>
      </w:r>
    </w:p>
    <w:p>
      <w:pPr>
        <w:spacing w:before="0" w:after="20" w:line="240" w:lineRule="auto"/>
        <w:ind w:left="482" w:hanging="142"/>
      </w:pPr>
      <w:r>
        <w:rPr>
          <w:sz w:val="21"/>
        </w:rPr>
        <w:t xml:space="preserve">• [ ] </w:t>
      </w:r>
      <w:r>
        <w:rPr>
          <w:b/>
          <w:sz w:val="21"/>
        </w:rPr>
        <w:t>Email Domain Consistency</w:t>
      </w:r>
    </w:p>
    <w:p>
      <w:pPr>
        <w:spacing w:before="0" w:after="160" w:line="252" w:lineRule="auto"/>
        <w:ind w:left="595"/>
      </w:pPr>
      <w:r>
        <w:t>Supplier contact details should use plausible and consistent business email domains where</w:t>
        <w:br/>
        <w:t>appropriate.</w:t>
      </w:r>
    </w:p>
    <w:p>
      <w:pPr>
        <w:spacing w:before="0" w:after="20" w:line="240" w:lineRule="auto"/>
        <w:ind w:left="482" w:hanging="142"/>
      </w:pPr>
      <w:r>
        <w:rPr>
          <w:sz w:val="21"/>
        </w:rPr>
        <w:t xml:space="preserve">• [ ] </w:t>
      </w:r>
      <w:r>
        <w:rPr>
          <w:b/>
          <w:sz w:val="21"/>
        </w:rPr>
        <w:t>Banking Data</w:t>
      </w:r>
    </w:p>
    <w:p>
      <w:pPr>
        <w:spacing w:before="0" w:after="160" w:line="252" w:lineRule="auto"/>
        <w:ind w:left="595"/>
      </w:pPr>
      <w:r>
        <w:t>Bank details should be complete, correctly formatted and free from conflicting or duplicate</w:t>
        <w:br/>
        <w:t>information.</w:t>
      </w:r>
    </w:p>
    <w:p>
      <w:pPr>
        <w:spacing w:before="0" w:after="20" w:line="240" w:lineRule="auto"/>
        <w:ind w:left="482" w:hanging="142"/>
      </w:pPr>
      <w:r>
        <w:rPr>
          <w:sz w:val="21"/>
        </w:rPr>
        <w:t xml:space="preserve">• [ ] </w:t>
      </w:r>
      <w:r>
        <w:rPr>
          <w:b/>
          <w:sz w:val="21"/>
        </w:rPr>
        <w:t>Supplier Status</w:t>
      </w:r>
    </w:p>
    <w:p>
      <w:pPr>
        <w:spacing w:before="0" w:after="160" w:line="252" w:lineRule="auto"/>
        <w:ind w:left="595"/>
      </w:pPr>
      <w:r>
        <w:t>Inactive, blocked or obsolete suppliers should be identified and reviewed.</w:t>
      </w:r>
    </w:p>
    <w:p>
      <w:pPr>
        <w:spacing w:before="0" w:after="20" w:line="240" w:lineRule="auto"/>
        <w:ind w:left="482" w:hanging="142"/>
      </w:pPr>
      <w:r>
        <w:rPr>
          <w:sz w:val="21"/>
        </w:rPr>
        <w:t xml:space="preserve">• [ ] </w:t>
      </w:r>
      <w:r>
        <w:rPr>
          <w:b/>
          <w:sz w:val="21"/>
        </w:rPr>
        <w:t>Classification &amp; Segmentation</w:t>
      </w:r>
    </w:p>
    <w:p>
      <w:pPr>
        <w:spacing w:before="0" w:after="160" w:line="252" w:lineRule="auto"/>
        <w:ind w:left="595"/>
      </w:pPr>
      <w:r>
        <w:t>Suppliers should be assigned consistently to categories, regions, business units or other relevant</w:t>
        <w:br/>
        <w:t>classifications.</w:t>
      </w:r>
    </w:p>
    <w:p>
      <w:pPr>
        <w:spacing w:before="0" w:after="20" w:line="240" w:lineRule="auto"/>
        <w:ind w:left="482" w:hanging="142"/>
      </w:pPr>
      <w:r>
        <w:rPr>
          <w:sz w:val="21"/>
        </w:rPr>
        <w:t xml:space="preserve">• [ ] </w:t>
      </w:r>
      <w:r>
        <w:rPr>
          <w:b/>
          <w:sz w:val="21"/>
        </w:rPr>
        <w:t>Integration Consistency</w:t>
      </w:r>
    </w:p>
    <w:p>
      <w:pPr>
        <w:spacing w:before="0" w:after="120" w:line="252" w:lineRule="auto"/>
        <w:ind w:left="595"/>
      </w:pPr>
      <w:r>
        <w:t>Supplier IDs and key master-data fields should be consistent across SAP Ariba, S/4HANA or ERP</w:t>
        <w:br/>
        <w:t>and connected systems.</w:t>
      </w:r>
    </w:p>
    <w:p>
      <w:pPr>
        <w:pBdr>
          <w:bottom w:val="single" w:sz="6" w:space="1" w:color="B7B7B7"/>
        </w:pBdr>
        <w:spacing w:before="0" w:after="0" w:line="240" w:lineRule="auto"/>
      </w:pPr>
    </w:p>
    <w:p>
      <w:pPr>
        <w:sectPr>
          <w:footerReference w:type="default" r:id="rId9"/>
          <w:pgSz w:w="11906" w:h="16838"/>
          <w:pgMar w:top="1474" w:right="1531" w:bottom="1020" w:left="1531" w:header="720" w:footer="720" w:gutter="0"/>
          <w:cols w:space="720"/>
          <w:docGrid w:linePitch="360"/>
        </w:sectPr>
      </w:pPr>
    </w:p>
    <w:p>
      <w:pPr>
        <w:pStyle w:val="SectionHead"/>
        <w:spacing w:before="0" w:after="280" w:line="240" w:lineRule="auto"/>
      </w:pPr>
      <w:r>
        <w:t>How did your supplier data perform?</w:t>
      </w:r>
    </w:p>
    <w:p>
      <w:pPr>
        <w:spacing w:before="0" w:after="40" w:line="240" w:lineRule="auto"/>
      </w:pPr>
      <w:r>
        <w:rPr>
          <w:b/>
        </w:rPr>
        <w:t>8–10 checks passed</w:t>
      </w:r>
    </w:p>
    <w:p>
      <w:pPr>
        <w:spacing w:before="0" w:after="260" w:line="252" w:lineRule="auto"/>
      </w:pPr>
      <w:r>
        <w:t>Your supplier data is in relatively good shape. Focus on continuous monitoring and prevention.</w:t>
      </w:r>
    </w:p>
    <w:p>
      <w:pPr>
        <w:spacing w:before="0" w:after="40" w:line="240" w:lineRule="auto"/>
      </w:pPr>
      <w:r>
        <w:rPr>
          <w:b/>
        </w:rPr>
        <w:t>5–7 checks passed</w:t>
      </w:r>
    </w:p>
    <w:p>
      <w:pPr>
        <w:spacing w:before="0" w:after="260" w:line="252" w:lineRule="auto"/>
      </w:pPr>
      <w:r>
        <w:t>Clean-up is recommended. Data-quality issues may already be affecting processes and reporting.</w:t>
      </w:r>
    </w:p>
    <w:p>
      <w:pPr>
        <w:spacing w:before="0" w:after="40" w:line="240" w:lineRule="auto"/>
      </w:pPr>
      <w:r>
        <w:rPr>
          <w:b/>
        </w:rPr>
        <w:t>0–4 checks passed</w:t>
      </w:r>
    </w:p>
    <w:p>
      <w:pPr>
        <w:spacing w:before="0" w:after="260" w:line="252" w:lineRule="auto"/>
      </w:pPr>
      <w:r>
        <w:t>A structured supplier master-data review is advisable. Duplicates, incomplete data and inconsistencies</w:t>
        <w:br/>
        <w:t>may be creating significant operational effort.</w:t>
      </w:r>
    </w:p>
    <w:p>
      <w:pPr>
        <w:spacing w:before="0" w:after="240" w:line="240" w:lineRule="auto"/>
      </w:pPr>
      <w:r>
        <w:rPr>
          <w:b/>
          <w:sz w:val="25"/>
        </w:rPr>
        <w:t>Keep this checklist</w:t>
      </w:r>
    </w:p>
    <w:p>
      <w:pPr>
        <w:spacing w:before="0" w:after="240" w:line="240" w:lineRule="auto"/>
      </w:pPr>
      <w:r>
        <w:rPr>
          <w:b/>
        </w:rPr>
        <w:t>Download the 10-Point Checklist (PDF)</w:t>
      </w:r>
    </w:p>
    <w:p>
      <w:pPr>
        <w:spacing w:before="0" w:after="260" w:line="240" w:lineRule="auto"/>
      </w:pPr>
      <w:r>
        <w:t>No registration required.</w:t>
      </w:r>
    </w:p>
    <w:p>
      <w:pPr>
        <w:pBdr>
          <w:bottom w:val="single" w:sz="6" w:space="1" w:color="B7B7B7"/>
        </w:pBdr>
        <w:spacing w:before="0" w:after="400" w:line="240" w:lineRule="auto"/>
      </w:pPr>
    </w:p>
    <w:p>
      <w:pPr>
        <w:pStyle w:val="BigHead"/>
        <w:spacing w:before="0" w:after="400" w:line="240" w:lineRule="auto"/>
      </w:pPr>
      <w:r>
        <w:t>Found potential issues?</w:t>
      </w:r>
    </w:p>
    <w:p>
      <w:pPr>
        <w:pStyle w:val="MidHead"/>
        <w:spacing w:before="0" w:after="320" w:line="240" w:lineRule="auto"/>
      </w:pPr>
      <w:r>
        <w:t>Analyze your actual supplier file.</w:t>
      </w:r>
    </w:p>
    <w:p>
      <w:pPr>
        <w:spacing w:before="0" w:after="280" w:line="264" w:lineRule="auto"/>
      </w:pPr>
      <w:r>
        <w:t xml:space="preserve">The </w:t>
      </w:r>
      <w:r>
        <w:rPr>
          <w:b/>
        </w:rPr>
        <w:t>Supplier Master Data Quality Analyzer</w:t>
      </w:r>
      <w:r>
        <w:t xml:space="preserve"> helps you identify duplicates, incomplete records and</w:t>
        <w:br/>
        <w:t>other supplier-data quality issues directly in your Excel supplier list.</w:t>
      </w:r>
    </w:p>
    <w:p>
      <w:pPr>
        <w:spacing w:before="0" w:after="320" w:line="240" w:lineRule="auto"/>
      </w:pPr>
      <w:r>
        <w:rPr>
          <w:b/>
        </w:rPr>
        <w:t>Your supplier data stays local.</w:t>
      </w:r>
    </w:p>
    <w:p>
      <w:pPr>
        <w:spacing w:before="0" w:after="320" w:line="240" w:lineRule="auto"/>
      </w:pPr>
      <w:r>
        <w:rPr>
          <w:b/>
        </w:rPr>
        <w:t>CTA</w:t>
      </w:r>
    </w:p>
    <w:p>
      <w:pPr>
        <w:spacing w:before="0" w:after="340" w:line="240" w:lineRule="auto"/>
      </w:pPr>
      <w:r>
        <w:rPr>
          <w:b/>
        </w:rPr>
        <w:t>Analyze Your Supplier File</w:t>
      </w:r>
    </w:p>
    <w:p>
      <w:pPr>
        <w:spacing w:before="0" w:after="0" w:line="240" w:lineRule="auto"/>
      </w:pPr>
      <w:r>
        <w:t>Free access via the Ariba Improvements Member Area.</w:t>
      </w:r>
    </w:p>
    <w:sectPr w:rsidR="00FC693F" w:rsidRPr="0006063C" w:rsidSect="00034616">
      <w:footerReference w:type="default" r:id="rId10"/>
      <w:pgSz w:w="11906" w:h="16838"/>
      <w:pgMar w:top="1389" w:right="1531" w:bottom="1020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8"/>
      </w:rPr>
      <w:t>1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8"/>
      </w:rPr>
      <w:t>2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pPr>
      <w:spacing w:after="0"/>
    </w:pPr>
    <w:rPr>
      <w:rFonts w:ascii="Arial" w:hAnsi="Arial"/>
      <w:b/>
      <w:sz w:val="44"/>
    </w:rPr>
  </w:style>
  <w:style w:type="paragraph" w:customStyle="1" w:styleId="SubTitle">
    <w:name w:val="SubTitle"/>
    <w:pPr>
      <w:spacing w:after="0"/>
    </w:pPr>
    <w:rPr>
      <w:rFonts w:ascii="Arial" w:hAnsi="Arial"/>
      <w:b/>
      <w:sz w:val="32"/>
    </w:rPr>
  </w:style>
  <w:style w:type="paragraph" w:customStyle="1" w:styleId="SectionHead">
    <w:name w:val="SectionHead"/>
    <w:pPr>
      <w:spacing w:after="0"/>
    </w:pPr>
    <w:rPr>
      <w:rFonts w:ascii="Arial" w:hAnsi="Arial"/>
      <w:b/>
      <w:sz w:val="25"/>
    </w:rPr>
  </w:style>
  <w:style w:type="paragraph" w:customStyle="1" w:styleId="BigHead">
    <w:name w:val="BigHead"/>
    <w:pPr>
      <w:spacing w:after="0"/>
    </w:pPr>
    <w:rPr>
      <w:rFonts w:ascii="Arial" w:hAnsi="Arial"/>
      <w:b/>
      <w:sz w:val="42"/>
    </w:rPr>
  </w:style>
  <w:style w:type="paragraph" w:customStyle="1" w:styleId="MidHead">
    <w:name w:val="MidHead"/>
    <w:pPr>
      <w:spacing w:after="0"/>
    </w:pPr>
    <w:rPr>
      <w:rFonts w:ascii="Arial" w:hAnsi="Arial"/>
      <w:b/>
      <w:sz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